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62E5" w14:textId="77777777" w:rsidR="00CA7A21" w:rsidRPr="001118FA" w:rsidRDefault="001118FA" w:rsidP="00CA7A21">
      <w:pPr>
        <w:pStyle w:val="NoSpacing"/>
        <w:jc w:val="center"/>
        <w:rPr>
          <w:rFonts w:ascii="Arial" w:hAnsi="Arial" w:cs="Arial"/>
          <w:b/>
          <w:sz w:val="28"/>
          <w:szCs w:val="24"/>
          <w:u w:val="single"/>
        </w:rPr>
      </w:pPr>
      <w:r w:rsidRPr="001118FA">
        <w:rPr>
          <w:noProof/>
        </w:rPr>
        <w:drawing>
          <wp:inline distT="0" distB="0" distL="0" distR="0" wp14:anchorId="61CA9BF3" wp14:editId="34CDA241">
            <wp:extent cx="1524000" cy="706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000" cy="706152"/>
                    </a:xfrm>
                    <a:prstGeom prst="rect">
                      <a:avLst/>
                    </a:prstGeom>
                  </pic:spPr>
                </pic:pic>
              </a:graphicData>
            </a:graphic>
          </wp:inline>
        </w:drawing>
      </w:r>
      <w:r w:rsidRPr="001118FA">
        <w:rPr>
          <w:noProof/>
          <w:spacing w:val="-140"/>
          <w:sz w:val="80"/>
        </w:rPr>
        <w:t xml:space="preserve">            </w:t>
      </w:r>
      <w:r w:rsidRPr="001118FA">
        <w:rPr>
          <w:noProof/>
          <w:spacing w:val="-140"/>
          <w:sz w:val="80"/>
        </w:rPr>
        <w:drawing>
          <wp:inline distT="0" distB="0" distL="0" distR="0" wp14:anchorId="4FD65D72" wp14:editId="6DCBC357">
            <wp:extent cx="2009775" cy="1285404"/>
            <wp:effectExtent l="0" t="0" r="0" b="0"/>
            <wp:docPr id="925993322" name="Picture 1" descr="OAW-primary-log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53002" name="Picture 1" descr="OAW-primary-logo-email"/>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09775" cy="1285404"/>
                    </a:xfrm>
                    <a:prstGeom prst="rect">
                      <a:avLst/>
                    </a:prstGeom>
                    <a:noFill/>
                    <a:ln>
                      <a:noFill/>
                    </a:ln>
                  </pic:spPr>
                </pic:pic>
              </a:graphicData>
            </a:graphic>
          </wp:inline>
        </w:drawing>
      </w:r>
      <w:r w:rsidRPr="001118FA">
        <w:rPr>
          <w:noProof/>
          <w:spacing w:val="-140"/>
          <w:sz w:val="80"/>
        </w:rPr>
        <w:t xml:space="preserve">      </w:t>
      </w:r>
      <w:r w:rsidRPr="001118FA">
        <w:rPr>
          <w:noProof/>
        </w:rPr>
        <w:t xml:space="preserve">    </w:t>
      </w:r>
      <w:r w:rsidRPr="001118FA">
        <w:rPr>
          <w:noProof/>
        </w:rPr>
        <w:drawing>
          <wp:inline distT="0" distB="0" distL="0" distR="0" wp14:anchorId="3D11D425" wp14:editId="70046CE0">
            <wp:extent cx="1485900" cy="117448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71541" name=""/>
                    <pic:cNvPicPr/>
                  </pic:nvPicPr>
                  <pic:blipFill>
                    <a:blip r:embed="rId7"/>
                    <a:srcRect r="4571" b="24572"/>
                    <a:stretch>
                      <a:fillRect/>
                    </a:stretch>
                  </pic:blipFill>
                  <pic:spPr bwMode="auto">
                    <a:xfrm>
                      <a:off x="0" y="0"/>
                      <a:ext cx="1485900" cy="1174484"/>
                    </a:xfrm>
                    <a:prstGeom prst="rect">
                      <a:avLst/>
                    </a:prstGeom>
                    <a:ln>
                      <a:noFill/>
                    </a:ln>
                    <a:extLst>
                      <a:ext uri="{53640926-AAD7-44D8-BBD7-CCE9431645EC}">
                        <a14:shadowObscured xmlns:a14="http://schemas.microsoft.com/office/drawing/2010/main"/>
                      </a:ext>
                    </a:extLst>
                  </pic:spPr>
                </pic:pic>
              </a:graphicData>
            </a:graphic>
          </wp:inline>
        </w:drawing>
      </w:r>
    </w:p>
    <w:p w14:paraId="4562C6D4" w14:textId="77777777" w:rsidR="00CA7A21" w:rsidRPr="001118FA" w:rsidRDefault="00CA7A21" w:rsidP="00CA7A21">
      <w:pPr>
        <w:pStyle w:val="NoSpacing"/>
        <w:jc w:val="center"/>
        <w:rPr>
          <w:rFonts w:ascii="Arial" w:hAnsi="Arial" w:cs="Arial"/>
          <w:b/>
          <w:sz w:val="28"/>
          <w:szCs w:val="24"/>
          <w:u w:val="single"/>
        </w:rPr>
      </w:pPr>
    </w:p>
    <w:p w14:paraId="79729279" w14:textId="77777777" w:rsidR="00CA7A21" w:rsidRPr="001118FA" w:rsidRDefault="00CA7A21" w:rsidP="00CA7A21">
      <w:pPr>
        <w:pStyle w:val="NoSpacing"/>
        <w:jc w:val="center"/>
        <w:rPr>
          <w:rFonts w:ascii="Arial" w:hAnsi="Arial" w:cs="Arial"/>
          <w:b/>
          <w:sz w:val="28"/>
          <w:szCs w:val="24"/>
          <w:u w:val="single"/>
        </w:rPr>
      </w:pPr>
    </w:p>
    <w:p w14:paraId="3B6A1588" w14:textId="77777777" w:rsidR="00AC1F93" w:rsidRPr="001118FA" w:rsidRDefault="001118FA" w:rsidP="001118FA">
      <w:pPr>
        <w:pStyle w:val="NoSpacing"/>
        <w:ind w:left="-180" w:right="-126"/>
        <w:jc w:val="center"/>
        <w:rPr>
          <w:rFonts w:ascii="Arial" w:hAnsi="Arial" w:cs="Arial"/>
          <w:b/>
          <w:sz w:val="32"/>
          <w:szCs w:val="24"/>
          <w:u w:val="single"/>
        </w:rPr>
      </w:pPr>
      <w:r w:rsidRPr="001118FA">
        <w:rPr>
          <w:rFonts w:ascii="Arial" w:hAnsi="Arial" w:cs="Arial"/>
          <w:b/>
          <w:sz w:val="32"/>
          <w:szCs w:val="24"/>
          <w:u w:val="single"/>
          <w:lang w:val="es"/>
        </w:rPr>
        <w:t>Sus derechos y protecciones contra facturas médicas sorpresa</w:t>
      </w:r>
    </w:p>
    <w:p w14:paraId="6FC8D9B2" w14:textId="77777777" w:rsidR="00AC1F93" w:rsidRPr="001118FA" w:rsidRDefault="00AC1F93" w:rsidP="00773182">
      <w:pPr>
        <w:pStyle w:val="NoSpacing"/>
        <w:rPr>
          <w:rFonts w:ascii="Arial" w:hAnsi="Arial" w:cs="Arial"/>
          <w:sz w:val="24"/>
          <w:szCs w:val="24"/>
        </w:rPr>
      </w:pPr>
    </w:p>
    <w:p w14:paraId="075472F6" w14:textId="77777777" w:rsidR="00756B4F" w:rsidRPr="001118FA" w:rsidRDefault="00756B4F" w:rsidP="00773182">
      <w:pPr>
        <w:pStyle w:val="NoSpacing"/>
        <w:rPr>
          <w:rFonts w:ascii="Arial" w:hAnsi="Arial" w:cs="Arial"/>
          <w:sz w:val="24"/>
          <w:szCs w:val="24"/>
        </w:rPr>
      </w:pPr>
    </w:p>
    <w:p w14:paraId="4DCAED0E" w14:textId="77777777" w:rsidR="00AC1F93" w:rsidRPr="001118FA" w:rsidRDefault="001118FA" w:rsidP="00773182">
      <w:pPr>
        <w:pStyle w:val="NoSpacing"/>
        <w:rPr>
          <w:rFonts w:ascii="Arial" w:hAnsi="Arial" w:cs="Arial"/>
          <w:b/>
          <w:sz w:val="24"/>
          <w:szCs w:val="24"/>
          <w:u w:val="single"/>
        </w:rPr>
      </w:pPr>
      <w:r w:rsidRPr="001118FA">
        <w:rPr>
          <w:rFonts w:ascii="Arial" w:hAnsi="Arial" w:cs="Arial"/>
          <w:b/>
          <w:sz w:val="24"/>
          <w:szCs w:val="24"/>
          <w:u w:val="single"/>
          <w:lang w:val="es"/>
        </w:rPr>
        <w:t>¿Qué es la "facturación de saldos</w:t>
      </w:r>
      <w:r w:rsidR="008663B1" w:rsidRPr="001118FA">
        <w:rPr>
          <w:rFonts w:ascii="Arial" w:hAnsi="Arial" w:cs="Arial"/>
          <w:b/>
          <w:sz w:val="24"/>
          <w:szCs w:val="24"/>
          <w:u w:val="single"/>
          <w:lang w:val="es"/>
        </w:rPr>
        <w:t xml:space="preserve"> (balance </w:t>
      </w:r>
      <w:proofErr w:type="spellStart"/>
      <w:r w:rsidR="008663B1" w:rsidRPr="001118FA">
        <w:rPr>
          <w:rFonts w:ascii="Arial" w:hAnsi="Arial" w:cs="Arial"/>
          <w:b/>
          <w:sz w:val="24"/>
          <w:szCs w:val="24"/>
          <w:u w:val="single"/>
          <w:lang w:val="es"/>
        </w:rPr>
        <w:t>billing</w:t>
      </w:r>
      <w:proofErr w:type="spellEnd"/>
      <w:r w:rsidR="008663B1" w:rsidRPr="001118FA">
        <w:rPr>
          <w:rFonts w:ascii="Arial" w:hAnsi="Arial" w:cs="Arial"/>
          <w:b/>
          <w:sz w:val="24"/>
          <w:szCs w:val="24"/>
          <w:u w:val="single"/>
          <w:lang w:val="es"/>
        </w:rPr>
        <w:t>)</w:t>
      </w:r>
      <w:r w:rsidRPr="001118FA">
        <w:rPr>
          <w:rFonts w:ascii="Arial" w:hAnsi="Arial" w:cs="Arial"/>
          <w:b/>
          <w:sz w:val="24"/>
          <w:szCs w:val="24"/>
          <w:u w:val="single"/>
          <w:lang w:val="es"/>
        </w:rPr>
        <w:t>" (a veces llamada "facturación sorpresa</w:t>
      </w:r>
      <w:r w:rsidR="008663B1" w:rsidRPr="001118FA">
        <w:rPr>
          <w:rFonts w:ascii="Arial" w:hAnsi="Arial" w:cs="Arial"/>
          <w:b/>
          <w:sz w:val="24"/>
          <w:szCs w:val="24"/>
          <w:u w:val="single"/>
          <w:lang w:val="es"/>
        </w:rPr>
        <w:t xml:space="preserve"> (</w:t>
      </w:r>
      <w:proofErr w:type="spellStart"/>
      <w:r w:rsidR="008663B1" w:rsidRPr="001118FA">
        <w:rPr>
          <w:rFonts w:ascii="Arial" w:hAnsi="Arial" w:cs="Arial"/>
          <w:b/>
          <w:sz w:val="24"/>
          <w:szCs w:val="24"/>
          <w:u w:val="single"/>
          <w:lang w:val="es"/>
        </w:rPr>
        <w:t>surprise</w:t>
      </w:r>
      <w:proofErr w:type="spellEnd"/>
      <w:r w:rsidR="008663B1" w:rsidRPr="001118FA">
        <w:rPr>
          <w:rFonts w:ascii="Arial" w:hAnsi="Arial" w:cs="Arial"/>
          <w:b/>
          <w:sz w:val="24"/>
          <w:szCs w:val="24"/>
          <w:u w:val="single"/>
          <w:lang w:val="es"/>
        </w:rPr>
        <w:t xml:space="preserve"> </w:t>
      </w:r>
      <w:proofErr w:type="spellStart"/>
      <w:r w:rsidR="008663B1" w:rsidRPr="001118FA">
        <w:rPr>
          <w:rFonts w:ascii="Arial" w:hAnsi="Arial" w:cs="Arial"/>
          <w:b/>
          <w:sz w:val="24"/>
          <w:szCs w:val="24"/>
          <w:u w:val="single"/>
          <w:lang w:val="es"/>
        </w:rPr>
        <w:t>billing</w:t>
      </w:r>
      <w:proofErr w:type="spellEnd"/>
      <w:r w:rsidR="008663B1" w:rsidRPr="001118FA">
        <w:rPr>
          <w:rFonts w:ascii="Arial" w:hAnsi="Arial" w:cs="Arial"/>
          <w:b/>
          <w:sz w:val="24"/>
          <w:szCs w:val="24"/>
          <w:u w:val="single"/>
          <w:lang w:val="es"/>
        </w:rPr>
        <w:t>)</w:t>
      </w:r>
      <w:r w:rsidRPr="001118FA">
        <w:rPr>
          <w:rFonts w:ascii="Arial" w:hAnsi="Arial" w:cs="Arial"/>
          <w:b/>
          <w:sz w:val="24"/>
          <w:szCs w:val="24"/>
          <w:u w:val="single"/>
          <w:lang w:val="es"/>
        </w:rPr>
        <w:t xml:space="preserve">")? </w:t>
      </w:r>
    </w:p>
    <w:p w14:paraId="7CF519EF" w14:textId="77777777" w:rsidR="00AC1F93" w:rsidRPr="001118FA" w:rsidRDefault="00AC1F93" w:rsidP="00773182">
      <w:pPr>
        <w:pStyle w:val="NoSpacing"/>
        <w:rPr>
          <w:rFonts w:ascii="Arial" w:hAnsi="Arial" w:cs="Arial"/>
          <w:sz w:val="24"/>
          <w:szCs w:val="24"/>
        </w:rPr>
      </w:pPr>
    </w:p>
    <w:p w14:paraId="61F0DC95" w14:textId="77777777" w:rsidR="00AC1F93" w:rsidRPr="001118FA" w:rsidRDefault="001118FA" w:rsidP="00773182">
      <w:pPr>
        <w:pStyle w:val="NoSpacing"/>
        <w:rPr>
          <w:rFonts w:ascii="Arial" w:hAnsi="Arial" w:cs="Arial"/>
          <w:sz w:val="24"/>
          <w:szCs w:val="24"/>
        </w:rPr>
      </w:pPr>
      <w:r w:rsidRPr="001118FA">
        <w:rPr>
          <w:rFonts w:ascii="Arial" w:hAnsi="Arial" w:cs="Arial"/>
          <w:sz w:val="24"/>
          <w:szCs w:val="24"/>
          <w:lang w:val="es"/>
        </w:rPr>
        <w:t xml:space="preserve">Cuando acude a un médico u otro profesional de la salud, es posible que deba pagar ciertos gastos de su bolsillo, como copagos, </w:t>
      </w:r>
      <w:proofErr w:type="spellStart"/>
      <w:r w:rsidRPr="001118FA">
        <w:rPr>
          <w:rFonts w:ascii="Arial" w:hAnsi="Arial" w:cs="Arial"/>
          <w:sz w:val="24"/>
          <w:szCs w:val="24"/>
          <w:lang w:val="es"/>
        </w:rPr>
        <w:t>coseguros</w:t>
      </w:r>
      <w:proofErr w:type="spellEnd"/>
      <w:r w:rsidRPr="001118FA">
        <w:rPr>
          <w:rFonts w:ascii="Arial" w:hAnsi="Arial" w:cs="Arial"/>
          <w:sz w:val="24"/>
          <w:szCs w:val="24"/>
          <w:lang w:val="es"/>
        </w:rPr>
        <w:t xml:space="preserve"> o deducibles. También es posible que tenga otros costos o que deba pagar la factura completa si acude a un proveedor o visita un centro de atención médica que no forma parte de la red de su plan de salud. </w:t>
      </w:r>
    </w:p>
    <w:p w14:paraId="704B3C95" w14:textId="77777777" w:rsidR="00AC1F93" w:rsidRPr="001118FA" w:rsidRDefault="00AC1F93" w:rsidP="00773182">
      <w:pPr>
        <w:pStyle w:val="NoSpacing"/>
        <w:rPr>
          <w:rFonts w:ascii="Arial" w:hAnsi="Arial" w:cs="Arial"/>
          <w:sz w:val="24"/>
          <w:szCs w:val="24"/>
        </w:rPr>
      </w:pPr>
    </w:p>
    <w:p w14:paraId="11601505" w14:textId="77777777" w:rsidR="00AC1F93" w:rsidRPr="001118FA" w:rsidRDefault="001118FA" w:rsidP="00773182">
      <w:pPr>
        <w:pStyle w:val="NoSpacing"/>
        <w:rPr>
          <w:rFonts w:ascii="Arial" w:hAnsi="Arial" w:cs="Arial"/>
          <w:sz w:val="24"/>
          <w:szCs w:val="24"/>
        </w:rPr>
      </w:pPr>
      <w:r w:rsidRPr="001118FA">
        <w:rPr>
          <w:rFonts w:ascii="Arial" w:hAnsi="Arial" w:cs="Arial"/>
          <w:sz w:val="24"/>
          <w:szCs w:val="24"/>
          <w:lang w:val="es"/>
        </w:rPr>
        <w:t>El término "fuera de la red</w:t>
      </w:r>
      <w:r w:rsidR="008663B1" w:rsidRPr="001118FA">
        <w:rPr>
          <w:rFonts w:ascii="Arial" w:hAnsi="Arial" w:cs="Arial"/>
          <w:sz w:val="24"/>
          <w:szCs w:val="24"/>
          <w:lang w:val="es"/>
        </w:rPr>
        <w:t xml:space="preserve"> (</w:t>
      </w:r>
      <w:proofErr w:type="spellStart"/>
      <w:r w:rsidR="008663B1" w:rsidRPr="001118FA">
        <w:rPr>
          <w:rFonts w:ascii="Arial" w:hAnsi="Arial" w:cs="Arial"/>
          <w:sz w:val="24"/>
          <w:szCs w:val="24"/>
          <w:lang w:val="es"/>
        </w:rPr>
        <w:t>Out</w:t>
      </w:r>
      <w:proofErr w:type="spellEnd"/>
      <w:r w:rsidR="008663B1" w:rsidRPr="001118FA">
        <w:rPr>
          <w:rFonts w:ascii="Arial" w:hAnsi="Arial" w:cs="Arial"/>
          <w:sz w:val="24"/>
          <w:szCs w:val="24"/>
          <w:lang w:val="es"/>
        </w:rPr>
        <w:t>-of-</w:t>
      </w:r>
      <w:proofErr w:type="spellStart"/>
      <w:r w:rsidR="008663B1" w:rsidRPr="001118FA">
        <w:rPr>
          <w:rFonts w:ascii="Arial" w:hAnsi="Arial" w:cs="Arial"/>
          <w:sz w:val="24"/>
          <w:szCs w:val="24"/>
          <w:lang w:val="es"/>
        </w:rPr>
        <w:t>network</w:t>
      </w:r>
      <w:proofErr w:type="spellEnd"/>
      <w:r w:rsidR="008663B1" w:rsidRPr="001118FA">
        <w:rPr>
          <w:rFonts w:ascii="Arial" w:hAnsi="Arial" w:cs="Arial"/>
          <w:sz w:val="24"/>
          <w:szCs w:val="24"/>
          <w:lang w:val="es"/>
        </w:rPr>
        <w:t>)</w:t>
      </w:r>
      <w:r w:rsidRPr="001118FA">
        <w:rPr>
          <w:rFonts w:ascii="Arial" w:hAnsi="Arial" w:cs="Arial"/>
          <w:sz w:val="24"/>
          <w:szCs w:val="24"/>
          <w:lang w:val="es"/>
        </w:rPr>
        <w:t>" hace referencia a los proveedores y centros que no han firmado un contrato con su plan de salud. Los proveedores fuera de la red podrían facturarle la diferencia entre lo que su plan acordó pagar y el monto total cobrado por un servicio. A esto se le denomina "</w:t>
      </w:r>
      <w:r w:rsidRPr="001118FA">
        <w:rPr>
          <w:rFonts w:ascii="Arial" w:hAnsi="Arial" w:cs="Arial"/>
          <w:b/>
          <w:sz w:val="24"/>
          <w:szCs w:val="24"/>
          <w:lang w:val="es"/>
        </w:rPr>
        <w:t>facturación de saldos</w:t>
      </w:r>
      <w:r w:rsidR="008663B1" w:rsidRPr="001118FA">
        <w:rPr>
          <w:rFonts w:ascii="Arial" w:hAnsi="Arial" w:cs="Arial"/>
          <w:b/>
          <w:sz w:val="24"/>
          <w:szCs w:val="24"/>
          <w:lang w:val="es"/>
        </w:rPr>
        <w:t xml:space="preserve"> (balance </w:t>
      </w:r>
      <w:proofErr w:type="spellStart"/>
      <w:r w:rsidR="008663B1" w:rsidRPr="001118FA">
        <w:rPr>
          <w:rFonts w:ascii="Arial" w:hAnsi="Arial" w:cs="Arial"/>
          <w:b/>
          <w:sz w:val="24"/>
          <w:szCs w:val="24"/>
          <w:lang w:val="es"/>
        </w:rPr>
        <w:t>billing</w:t>
      </w:r>
      <w:proofErr w:type="spellEnd"/>
      <w:r w:rsidR="008663B1" w:rsidRPr="001118FA">
        <w:rPr>
          <w:rFonts w:ascii="Arial" w:hAnsi="Arial" w:cs="Arial"/>
          <w:b/>
          <w:sz w:val="24"/>
          <w:szCs w:val="24"/>
          <w:lang w:val="es"/>
        </w:rPr>
        <w:t>)</w:t>
      </w:r>
      <w:r w:rsidRPr="001118FA">
        <w:rPr>
          <w:rFonts w:ascii="Arial" w:hAnsi="Arial" w:cs="Arial"/>
          <w:sz w:val="24"/>
          <w:szCs w:val="24"/>
          <w:lang w:val="es"/>
        </w:rPr>
        <w:t xml:space="preserve">".  Este monto es probablemente mayor que los costos dentro de la red por el mismo servicio y podría no tomarse en cuenta para su límite anual de gastos de bolsillo. </w:t>
      </w:r>
    </w:p>
    <w:p w14:paraId="2E132215" w14:textId="77777777" w:rsidR="00AC1F93" w:rsidRPr="001118FA" w:rsidRDefault="00AC1F93" w:rsidP="00773182">
      <w:pPr>
        <w:pStyle w:val="NoSpacing"/>
        <w:rPr>
          <w:rFonts w:ascii="Arial" w:hAnsi="Arial" w:cs="Arial"/>
          <w:sz w:val="24"/>
          <w:szCs w:val="24"/>
        </w:rPr>
      </w:pPr>
    </w:p>
    <w:p w14:paraId="2F0F3B20" w14:textId="77777777" w:rsidR="00AC1F93" w:rsidRPr="001118FA" w:rsidRDefault="001118FA" w:rsidP="00773182">
      <w:pPr>
        <w:pStyle w:val="NoSpacing"/>
        <w:rPr>
          <w:rFonts w:ascii="Arial" w:hAnsi="Arial" w:cs="Arial"/>
          <w:sz w:val="24"/>
          <w:szCs w:val="24"/>
        </w:rPr>
      </w:pPr>
      <w:r w:rsidRPr="001118FA">
        <w:rPr>
          <w:rFonts w:ascii="Arial" w:hAnsi="Arial" w:cs="Arial"/>
          <w:sz w:val="24"/>
          <w:szCs w:val="24"/>
          <w:lang w:val="es"/>
        </w:rPr>
        <w:t>La "facturación sorpresa</w:t>
      </w:r>
      <w:r w:rsidR="008663B1" w:rsidRPr="001118FA">
        <w:rPr>
          <w:rFonts w:ascii="Arial" w:hAnsi="Arial" w:cs="Arial"/>
          <w:sz w:val="24"/>
          <w:szCs w:val="24"/>
          <w:lang w:val="es"/>
        </w:rPr>
        <w:t xml:space="preserve"> (</w:t>
      </w:r>
      <w:proofErr w:type="spellStart"/>
      <w:r w:rsidR="008663B1" w:rsidRPr="001118FA">
        <w:rPr>
          <w:rFonts w:ascii="Arial" w:hAnsi="Arial" w:cs="Arial"/>
          <w:sz w:val="24"/>
          <w:szCs w:val="24"/>
          <w:lang w:val="es"/>
        </w:rPr>
        <w:t>Surprise</w:t>
      </w:r>
      <w:proofErr w:type="spellEnd"/>
      <w:r w:rsidR="008663B1" w:rsidRPr="001118FA">
        <w:rPr>
          <w:rFonts w:ascii="Arial" w:hAnsi="Arial" w:cs="Arial"/>
          <w:sz w:val="24"/>
          <w:szCs w:val="24"/>
          <w:lang w:val="es"/>
        </w:rPr>
        <w:t xml:space="preserve"> </w:t>
      </w:r>
      <w:proofErr w:type="spellStart"/>
      <w:r w:rsidR="008663B1" w:rsidRPr="001118FA">
        <w:rPr>
          <w:rFonts w:ascii="Arial" w:hAnsi="Arial" w:cs="Arial"/>
          <w:sz w:val="24"/>
          <w:szCs w:val="24"/>
          <w:lang w:val="es"/>
        </w:rPr>
        <w:t>billing</w:t>
      </w:r>
      <w:proofErr w:type="spellEnd"/>
      <w:r w:rsidR="008663B1" w:rsidRPr="001118FA">
        <w:rPr>
          <w:rFonts w:ascii="Arial" w:hAnsi="Arial" w:cs="Arial"/>
          <w:sz w:val="24"/>
          <w:szCs w:val="24"/>
          <w:lang w:val="es"/>
        </w:rPr>
        <w:t>)</w:t>
      </w:r>
      <w:r w:rsidRPr="001118FA">
        <w:rPr>
          <w:rFonts w:ascii="Arial" w:hAnsi="Arial" w:cs="Arial"/>
          <w:sz w:val="24"/>
          <w:szCs w:val="24"/>
          <w:lang w:val="es"/>
        </w:rPr>
        <w:t xml:space="preserve">" es una factura de saldos inesperada. Esto puede suceder cuando usted no puede controlar quién participa en su atención, como cuando tiene una emergencia o cuando programa una visita en un centro que forma parte de la red, pero es atendido de forma inesperada por un proveedor fuera de la red. </w:t>
      </w:r>
    </w:p>
    <w:p w14:paraId="765BF6A4" w14:textId="77777777" w:rsidR="00AC1F93" w:rsidRPr="001118FA" w:rsidRDefault="00AC1F93" w:rsidP="00773182">
      <w:pPr>
        <w:pStyle w:val="NoSpacing"/>
        <w:rPr>
          <w:rFonts w:ascii="Arial" w:hAnsi="Arial" w:cs="Arial"/>
          <w:sz w:val="24"/>
          <w:szCs w:val="24"/>
        </w:rPr>
      </w:pPr>
    </w:p>
    <w:p w14:paraId="4111DE60" w14:textId="77777777" w:rsidR="00756B4F" w:rsidRPr="001118FA" w:rsidRDefault="00756B4F" w:rsidP="00773182">
      <w:pPr>
        <w:pStyle w:val="NoSpacing"/>
        <w:rPr>
          <w:rFonts w:ascii="Arial" w:hAnsi="Arial" w:cs="Arial"/>
          <w:sz w:val="24"/>
          <w:szCs w:val="24"/>
        </w:rPr>
      </w:pPr>
    </w:p>
    <w:p w14:paraId="658CD8D2" w14:textId="77777777" w:rsidR="00AC1F93" w:rsidRPr="001118FA" w:rsidRDefault="001118FA" w:rsidP="00773182">
      <w:pPr>
        <w:pStyle w:val="NoSpacing"/>
        <w:rPr>
          <w:rFonts w:ascii="Arial" w:hAnsi="Arial" w:cs="Arial"/>
          <w:b/>
          <w:sz w:val="24"/>
          <w:szCs w:val="24"/>
          <w:u w:val="single"/>
        </w:rPr>
      </w:pPr>
      <w:r w:rsidRPr="001118FA">
        <w:rPr>
          <w:rFonts w:ascii="Arial" w:hAnsi="Arial" w:cs="Arial"/>
          <w:b/>
          <w:sz w:val="24"/>
          <w:szCs w:val="24"/>
          <w:u w:val="single"/>
          <w:lang w:val="es"/>
        </w:rPr>
        <w:t>Usted está protegido contra la facturación de saldos en los siguientes casos:</w:t>
      </w:r>
    </w:p>
    <w:p w14:paraId="6766E939" w14:textId="77777777" w:rsidR="00AC1F93" w:rsidRPr="001118FA" w:rsidRDefault="00AC1F93" w:rsidP="00773182">
      <w:pPr>
        <w:pStyle w:val="NoSpacing"/>
        <w:rPr>
          <w:rFonts w:ascii="Arial" w:hAnsi="Arial" w:cs="Arial"/>
          <w:sz w:val="24"/>
          <w:szCs w:val="24"/>
        </w:rPr>
      </w:pPr>
    </w:p>
    <w:p w14:paraId="720E0FFD" w14:textId="77777777" w:rsidR="00AC1F93" w:rsidRPr="001118FA" w:rsidRDefault="001118FA" w:rsidP="00773182">
      <w:pPr>
        <w:pStyle w:val="NoSpacing"/>
        <w:rPr>
          <w:rFonts w:ascii="Arial" w:hAnsi="Arial" w:cs="Arial"/>
          <w:b/>
          <w:sz w:val="24"/>
          <w:szCs w:val="24"/>
        </w:rPr>
      </w:pPr>
      <w:r w:rsidRPr="001118FA">
        <w:rPr>
          <w:rFonts w:ascii="Arial" w:hAnsi="Arial" w:cs="Arial"/>
          <w:b/>
          <w:sz w:val="24"/>
          <w:szCs w:val="24"/>
          <w:lang w:val="es"/>
        </w:rPr>
        <w:t xml:space="preserve">Servicios de emergencia </w:t>
      </w:r>
    </w:p>
    <w:p w14:paraId="20884669" w14:textId="77777777" w:rsidR="00183C80" w:rsidRPr="001118FA" w:rsidRDefault="001118FA" w:rsidP="00773182">
      <w:pPr>
        <w:pStyle w:val="NoSpacing"/>
        <w:rPr>
          <w:rFonts w:ascii="Arial" w:hAnsi="Arial" w:cs="Arial"/>
          <w:sz w:val="24"/>
          <w:szCs w:val="24"/>
        </w:rPr>
      </w:pPr>
      <w:r w:rsidRPr="001118FA">
        <w:rPr>
          <w:rFonts w:ascii="Arial" w:hAnsi="Arial" w:cs="Arial"/>
          <w:sz w:val="24"/>
          <w:szCs w:val="24"/>
          <w:lang w:val="es"/>
        </w:rPr>
        <w:t xml:space="preserve">Si tiene una afección médica de emergencia y recibe servicios de emergencia por parte de un proveedor o centro fuera de la red, el monto máximo que este proveedor o centro pueden facturarle es el monto del costo compartido dentro de la red de su plan (como los copagos y </w:t>
      </w:r>
      <w:proofErr w:type="spellStart"/>
      <w:r w:rsidRPr="001118FA">
        <w:rPr>
          <w:rFonts w:ascii="Arial" w:hAnsi="Arial" w:cs="Arial"/>
          <w:sz w:val="24"/>
          <w:szCs w:val="24"/>
          <w:lang w:val="es"/>
        </w:rPr>
        <w:t>coseguro</w:t>
      </w:r>
      <w:proofErr w:type="spellEnd"/>
      <w:r w:rsidRPr="001118FA">
        <w:rPr>
          <w:rFonts w:ascii="Arial" w:hAnsi="Arial" w:cs="Arial"/>
          <w:sz w:val="24"/>
          <w:szCs w:val="24"/>
          <w:lang w:val="es"/>
        </w:rPr>
        <w:t xml:space="preserve">). No se le puede facturar a usted los saldos por estos servicios de emergencia. Esto incluye los servicios que pueda recibir después de encontrarse en condición estable, a menos que dé su consentimiento por escrito y renuncie a sus protecciones para que no se le facture los saldos por estos servicios posteriores a la estabilización. </w:t>
      </w:r>
    </w:p>
    <w:p w14:paraId="2701FA65" w14:textId="77777777" w:rsidR="00756B4F" w:rsidRPr="001118FA" w:rsidRDefault="00756B4F" w:rsidP="00773182">
      <w:pPr>
        <w:pStyle w:val="NoSpacing"/>
        <w:rPr>
          <w:rFonts w:ascii="Arial" w:hAnsi="Arial" w:cs="Arial"/>
          <w:sz w:val="24"/>
          <w:szCs w:val="24"/>
        </w:rPr>
      </w:pPr>
    </w:p>
    <w:p w14:paraId="11EFBCC7" w14:textId="77777777" w:rsidR="00756B4F" w:rsidRPr="001118FA" w:rsidRDefault="00756B4F" w:rsidP="00773182">
      <w:pPr>
        <w:pStyle w:val="NoSpacing"/>
        <w:rPr>
          <w:rFonts w:ascii="Arial" w:hAnsi="Arial" w:cs="Arial"/>
          <w:sz w:val="24"/>
          <w:szCs w:val="24"/>
        </w:rPr>
      </w:pPr>
    </w:p>
    <w:p w14:paraId="3529C7BB" w14:textId="77777777" w:rsidR="00183C80" w:rsidRPr="001118FA" w:rsidRDefault="001118FA" w:rsidP="00773182">
      <w:pPr>
        <w:pStyle w:val="NoSpacing"/>
        <w:rPr>
          <w:rFonts w:ascii="Arial" w:hAnsi="Arial" w:cs="Arial"/>
          <w:b/>
          <w:sz w:val="24"/>
          <w:szCs w:val="24"/>
        </w:rPr>
      </w:pPr>
      <w:r w:rsidRPr="001118FA">
        <w:rPr>
          <w:rFonts w:ascii="Arial" w:hAnsi="Arial" w:cs="Arial"/>
          <w:b/>
          <w:sz w:val="24"/>
          <w:szCs w:val="24"/>
          <w:lang w:val="es"/>
        </w:rPr>
        <w:lastRenderedPageBreak/>
        <w:t xml:space="preserve">Ciertos servicios en un hospital o centro quirúrgico ambulatorio dentro de la red </w:t>
      </w:r>
    </w:p>
    <w:p w14:paraId="1EE01592" w14:textId="77777777" w:rsidR="00183C80" w:rsidRPr="001118FA" w:rsidRDefault="001118FA" w:rsidP="00773182">
      <w:pPr>
        <w:pStyle w:val="NoSpacing"/>
        <w:rPr>
          <w:rFonts w:ascii="Arial" w:hAnsi="Arial" w:cs="Arial"/>
          <w:sz w:val="24"/>
          <w:szCs w:val="24"/>
        </w:rPr>
      </w:pPr>
      <w:r w:rsidRPr="001118FA">
        <w:rPr>
          <w:rFonts w:ascii="Arial" w:hAnsi="Arial" w:cs="Arial"/>
          <w:sz w:val="24"/>
          <w:szCs w:val="24"/>
          <w:lang w:val="es"/>
        </w:rPr>
        <w:t xml:space="preserve">Cuando recibe servicios por parte de un hospital o centro quirúrgico ambulatorio de la red, es posible que algunos proveedores no formen parte de dicha red. En estos casos, el monto máximo que dichos proveedores pueden facturarle es el monto del costo compartido dentro de la red de su plan. Esto se aplica a los servicios de medicina de emergencia, anestesia, patología, radiología, laboratorio, neonatología, cirujano asistente, </w:t>
      </w:r>
      <w:proofErr w:type="spellStart"/>
      <w:r w:rsidRPr="001118FA">
        <w:rPr>
          <w:rFonts w:ascii="Arial" w:hAnsi="Arial" w:cs="Arial"/>
          <w:sz w:val="24"/>
          <w:szCs w:val="24"/>
          <w:lang w:val="es"/>
        </w:rPr>
        <w:t>hospitalista</w:t>
      </w:r>
      <w:proofErr w:type="spellEnd"/>
      <w:r w:rsidRPr="001118FA">
        <w:rPr>
          <w:rFonts w:ascii="Arial" w:hAnsi="Arial" w:cs="Arial"/>
          <w:sz w:val="24"/>
          <w:szCs w:val="24"/>
          <w:lang w:val="es"/>
        </w:rPr>
        <w:t xml:space="preserve"> o intensivista. Estos proveedores no pueden facturarle los saldos ni tampoco pueden pedirle que renuncie a su protección contra la facturación de saldos. </w:t>
      </w:r>
    </w:p>
    <w:p w14:paraId="15A84434" w14:textId="77777777" w:rsidR="00183C80" w:rsidRPr="001118FA" w:rsidRDefault="00183C80" w:rsidP="00773182">
      <w:pPr>
        <w:pStyle w:val="NoSpacing"/>
        <w:rPr>
          <w:rFonts w:ascii="Arial" w:hAnsi="Arial" w:cs="Arial"/>
          <w:sz w:val="24"/>
          <w:szCs w:val="24"/>
        </w:rPr>
      </w:pPr>
    </w:p>
    <w:p w14:paraId="734D4146" w14:textId="77777777" w:rsidR="00183C80" w:rsidRPr="001118FA" w:rsidRDefault="001118FA" w:rsidP="00773182">
      <w:pPr>
        <w:pStyle w:val="NoSpacing"/>
        <w:rPr>
          <w:rFonts w:ascii="Arial" w:hAnsi="Arial" w:cs="Arial"/>
          <w:sz w:val="24"/>
          <w:szCs w:val="24"/>
        </w:rPr>
      </w:pPr>
      <w:r w:rsidRPr="001118FA">
        <w:rPr>
          <w:rFonts w:ascii="Arial" w:hAnsi="Arial" w:cs="Arial"/>
          <w:sz w:val="24"/>
          <w:szCs w:val="24"/>
          <w:lang w:val="es"/>
        </w:rPr>
        <w:t xml:space="preserve">Si recibe otros servicios en estos centros que forman parte de la red, los proveedores fuera de la red no pueden facturarle los saldos, a menos que usted dé su consentimiento por escrito y renuncie a sus protecciones. </w:t>
      </w:r>
    </w:p>
    <w:p w14:paraId="75CE1815" w14:textId="77777777" w:rsidR="00183C80" w:rsidRPr="001118FA" w:rsidRDefault="00183C80" w:rsidP="00773182">
      <w:pPr>
        <w:pStyle w:val="NoSpacing"/>
        <w:rPr>
          <w:rFonts w:ascii="Arial" w:hAnsi="Arial" w:cs="Arial"/>
          <w:sz w:val="24"/>
          <w:szCs w:val="24"/>
        </w:rPr>
      </w:pPr>
    </w:p>
    <w:p w14:paraId="7E7ECEFE" w14:textId="77777777" w:rsidR="00183C80" w:rsidRPr="001118FA" w:rsidRDefault="001118FA" w:rsidP="00773182">
      <w:pPr>
        <w:pStyle w:val="NoSpacing"/>
        <w:rPr>
          <w:rFonts w:ascii="Arial" w:hAnsi="Arial" w:cs="Arial"/>
          <w:sz w:val="24"/>
          <w:szCs w:val="24"/>
        </w:rPr>
      </w:pPr>
      <w:r w:rsidRPr="001118FA">
        <w:rPr>
          <w:rFonts w:ascii="Arial" w:hAnsi="Arial" w:cs="Arial"/>
          <w:sz w:val="24"/>
          <w:szCs w:val="24"/>
          <w:lang w:val="es"/>
        </w:rPr>
        <w:t xml:space="preserve">Nunca se le pedirá que renuncie a sus protecciones contra la facturación de saldos. Tampoco está obligado a recibir atención fuera de la red. Puede elegir un proveedor o centro que forme parte de la red de su plan. </w:t>
      </w:r>
    </w:p>
    <w:p w14:paraId="61D7DFBB" w14:textId="77777777" w:rsidR="00183C80" w:rsidRPr="001118FA" w:rsidRDefault="00183C80" w:rsidP="00773182">
      <w:pPr>
        <w:pStyle w:val="NoSpacing"/>
        <w:rPr>
          <w:rFonts w:ascii="Arial" w:hAnsi="Arial" w:cs="Arial"/>
          <w:sz w:val="24"/>
          <w:szCs w:val="24"/>
        </w:rPr>
      </w:pPr>
    </w:p>
    <w:p w14:paraId="31AEF3B5" w14:textId="77777777" w:rsidR="00183C80" w:rsidRPr="001118FA" w:rsidRDefault="00183C80" w:rsidP="00773182">
      <w:pPr>
        <w:pStyle w:val="NoSpacing"/>
        <w:rPr>
          <w:rFonts w:ascii="Arial" w:hAnsi="Arial" w:cs="Arial"/>
          <w:sz w:val="24"/>
          <w:szCs w:val="24"/>
        </w:rPr>
      </w:pPr>
    </w:p>
    <w:p w14:paraId="1FC83A60" w14:textId="77777777" w:rsidR="00756B4F" w:rsidRPr="001118FA" w:rsidRDefault="00756B4F" w:rsidP="00773182">
      <w:pPr>
        <w:pStyle w:val="NoSpacing"/>
        <w:rPr>
          <w:rFonts w:ascii="Arial" w:hAnsi="Arial" w:cs="Arial"/>
          <w:sz w:val="24"/>
          <w:szCs w:val="24"/>
        </w:rPr>
      </w:pPr>
    </w:p>
    <w:p w14:paraId="5F74439F" w14:textId="77777777" w:rsidR="00183C80" w:rsidRPr="001118FA" w:rsidRDefault="001118FA" w:rsidP="00773182">
      <w:pPr>
        <w:pStyle w:val="NoSpacing"/>
        <w:rPr>
          <w:rFonts w:ascii="Arial" w:hAnsi="Arial" w:cs="Arial"/>
          <w:b/>
          <w:sz w:val="24"/>
          <w:szCs w:val="24"/>
          <w:u w:val="single"/>
        </w:rPr>
      </w:pPr>
      <w:r w:rsidRPr="001118FA">
        <w:rPr>
          <w:rFonts w:ascii="Arial" w:hAnsi="Arial" w:cs="Arial"/>
          <w:b/>
          <w:sz w:val="24"/>
          <w:szCs w:val="24"/>
          <w:u w:val="single"/>
          <w:lang w:val="es"/>
        </w:rPr>
        <w:t xml:space="preserve">Si no se permite la facturación de saldos, también tiene las siguientes protecciones: </w:t>
      </w:r>
    </w:p>
    <w:p w14:paraId="0A53274C" w14:textId="77777777" w:rsidR="00183C80" w:rsidRPr="001118FA" w:rsidRDefault="00183C80" w:rsidP="00773182">
      <w:pPr>
        <w:pStyle w:val="NoSpacing"/>
        <w:rPr>
          <w:rFonts w:ascii="Arial" w:hAnsi="Arial" w:cs="Arial"/>
          <w:sz w:val="24"/>
          <w:szCs w:val="24"/>
        </w:rPr>
      </w:pPr>
    </w:p>
    <w:p w14:paraId="33173DBE" w14:textId="77777777" w:rsidR="00183C80" w:rsidRPr="001118FA" w:rsidRDefault="001118FA" w:rsidP="008F1394">
      <w:pPr>
        <w:pStyle w:val="NoSpacing"/>
        <w:numPr>
          <w:ilvl w:val="0"/>
          <w:numId w:val="1"/>
        </w:numPr>
        <w:ind w:left="360"/>
        <w:rPr>
          <w:rFonts w:ascii="Arial" w:hAnsi="Arial" w:cs="Arial"/>
          <w:sz w:val="24"/>
          <w:szCs w:val="24"/>
        </w:rPr>
      </w:pPr>
      <w:r w:rsidRPr="001118FA">
        <w:rPr>
          <w:rFonts w:ascii="Arial" w:hAnsi="Arial" w:cs="Arial"/>
          <w:sz w:val="24"/>
          <w:szCs w:val="24"/>
          <w:lang w:val="es"/>
        </w:rPr>
        <w:t xml:space="preserve">Usted solo es responsable de pagar su parte del costo (como los copagos, </w:t>
      </w:r>
      <w:proofErr w:type="spellStart"/>
      <w:r w:rsidRPr="001118FA">
        <w:rPr>
          <w:rFonts w:ascii="Arial" w:hAnsi="Arial" w:cs="Arial"/>
          <w:sz w:val="24"/>
          <w:szCs w:val="24"/>
          <w:lang w:val="es"/>
        </w:rPr>
        <w:t>coseguros</w:t>
      </w:r>
      <w:proofErr w:type="spellEnd"/>
      <w:r w:rsidRPr="001118FA">
        <w:rPr>
          <w:rFonts w:ascii="Arial" w:hAnsi="Arial" w:cs="Arial"/>
          <w:sz w:val="24"/>
          <w:szCs w:val="24"/>
          <w:lang w:val="es"/>
        </w:rPr>
        <w:t xml:space="preserve"> y deducibles que pagaría si el proveedor o centro formara parte de la red). Su plan de salud le pagará directamente a los proveedores y centros fuera de la red. </w:t>
      </w:r>
    </w:p>
    <w:p w14:paraId="1DA85F2B" w14:textId="77777777" w:rsidR="00183C80" w:rsidRPr="001118FA" w:rsidRDefault="00183C80" w:rsidP="008F1394">
      <w:pPr>
        <w:pStyle w:val="NoSpacing"/>
        <w:rPr>
          <w:rFonts w:ascii="Arial" w:hAnsi="Arial" w:cs="Arial"/>
          <w:sz w:val="24"/>
          <w:szCs w:val="24"/>
        </w:rPr>
      </w:pPr>
    </w:p>
    <w:p w14:paraId="5F57B07D" w14:textId="77777777" w:rsidR="00183C80" w:rsidRPr="001118FA" w:rsidRDefault="001118FA" w:rsidP="008F1394">
      <w:pPr>
        <w:pStyle w:val="NoSpacing"/>
        <w:numPr>
          <w:ilvl w:val="0"/>
          <w:numId w:val="1"/>
        </w:numPr>
        <w:ind w:left="360"/>
        <w:rPr>
          <w:rFonts w:ascii="Arial" w:hAnsi="Arial" w:cs="Arial"/>
          <w:sz w:val="24"/>
          <w:szCs w:val="24"/>
        </w:rPr>
      </w:pPr>
      <w:r w:rsidRPr="001118FA">
        <w:rPr>
          <w:rFonts w:ascii="Arial" w:hAnsi="Arial" w:cs="Arial"/>
          <w:sz w:val="24"/>
          <w:szCs w:val="24"/>
          <w:lang w:val="es"/>
        </w:rPr>
        <w:t xml:space="preserve">Por lo general, su plan de salud debe: </w:t>
      </w:r>
    </w:p>
    <w:p w14:paraId="421A8A45" w14:textId="77777777" w:rsidR="00183C80" w:rsidRPr="001118FA" w:rsidRDefault="001118FA" w:rsidP="008F1394">
      <w:pPr>
        <w:pStyle w:val="NoSpacing"/>
        <w:numPr>
          <w:ilvl w:val="1"/>
          <w:numId w:val="1"/>
        </w:numPr>
        <w:ind w:left="1080"/>
        <w:rPr>
          <w:rFonts w:ascii="Arial" w:hAnsi="Arial" w:cs="Arial"/>
          <w:sz w:val="24"/>
          <w:szCs w:val="24"/>
        </w:rPr>
      </w:pPr>
      <w:r w:rsidRPr="001118FA">
        <w:rPr>
          <w:rFonts w:ascii="Arial" w:hAnsi="Arial" w:cs="Arial"/>
          <w:sz w:val="24"/>
          <w:szCs w:val="24"/>
          <w:lang w:val="es"/>
        </w:rPr>
        <w:t xml:space="preserve">Cubrir los servicios de emergencia sin exigirle obtener la aprobación para dichos servicios por adelantado (autorización previa). </w:t>
      </w:r>
    </w:p>
    <w:p w14:paraId="0F375143" w14:textId="77777777" w:rsidR="008F1394" w:rsidRPr="001118FA" w:rsidRDefault="001118FA" w:rsidP="008F1394">
      <w:pPr>
        <w:pStyle w:val="NoSpacing"/>
        <w:numPr>
          <w:ilvl w:val="1"/>
          <w:numId w:val="1"/>
        </w:numPr>
        <w:ind w:left="1080"/>
        <w:rPr>
          <w:rFonts w:ascii="Arial" w:hAnsi="Arial" w:cs="Arial"/>
          <w:sz w:val="24"/>
          <w:szCs w:val="24"/>
        </w:rPr>
      </w:pPr>
      <w:r w:rsidRPr="001118FA">
        <w:rPr>
          <w:rFonts w:ascii="Arial" w:hAnsi="Arial" w:cs="Arial"/>
          <w:sz w:val="24"/>
          <w:szCs w:val="24"/>
          <w:lang w:val="es"/>
        </w:rPr>
        <w:t xml:space="preserve">Cubrir los servicios de emergencia prestados por proveedores fuera de la red. </w:t>
      </w:r>
    </w:p>
    <w:p w14:paraId="583522CC" w14:textId="77777777" w:rsidR="00183C80" w:rsidRPr="001118FA" w:rsidRDefault="001118FA" w:rsidP="008F1394">
      <w:pPr>
        <w:pStyle w:val="NoSpacing"/>
        <w:numPr>
          <w:ilvl w:val="1"/>
          <w:numId w:val="1"/>
        </w:numPr>
        <w:ind w:left="1080"/>
        <w:rPr>
          <w:rFonts w:ascii="Arial" w:hAnsi="Arial" w:cs="Arial"/>
          <w:sz w:val="24"/>
          <w:szCs w:val="24"/>
        </w:rPr>
      </w:pPr>
      <w:r w:rsidRPr="001118FA">
        <w:rPr>
          <w:rFonts w:ascii="Arial" w:hAnsi="Arial" w:cs="Arial"/>
          <w:sz w:val="24"/>
          <w:szCs w:val="24"/>
          <w:lang w:val="es"/>
        </w:rPr>
        <w:t xml:space="preserve">Calcular lo que usted le debe al proveedor o centro (costo compartido) en función de lo que le pagaría a un proveedor o centro dentro de la red y reflejar ese monto en su explicación de beneficios. </w:t>
      </w:r>
    </w:p>
    <w:p w14:paraId="47B035AC" w14:textId="209A080A" w:rsidR="008F1394" w:rsidRPr="001118FA" w:rsidRDefault="001118FA" w:rsidP="008F1394">
      <w:pPr>
        <w:pStyle w:val="NoSpacing"/>
        <w:numPr>
          <w:ilvl w:val="1"/>
          <w:numId w:val="1"/>
        </w:numPr>
        <w:ind w:left="1080"/>
        <w:rPr>
          <w:rFonts w:ascii="Arial" w:hAnsi="Arial" w:cs="Arial"/>
          <w:sz w:val="24"/>
          <w:szCs w:val="24"/>
        </w:rPr>
      </w:pPr>
      <w:r w:rsidRPr="001118FA">
        <w:rPr>
          <w:rFonts w:ascii="Arial" w:hAnsi="Arial" w:cs="Arial"/>
          <w:sz w:val="24"/>
          <w:szCs w:val="24"/>
          <w:lang w:val="es"/>
        </w:rPr>
        <w:t xml:space="preserve">Tomar en cuenta cualquier monto que pague por servicios de emergencia o servicios fuera de la red para su deducible y límite de gastos de bolsillo. </w:t>
      </w:r>
    </w:p>
    <w:p w14:paraId="4E07D3FC" w14:textId="77777777" w:rsidR="008F1394" w:rsidRPr="001118FA" w:rsidRDefault="008F1394" w:rsidP="008F1394">
      <w:pPr>
        <w:pStyle w:val="NoSpacing"/>
        <w:rPr>
          <w:rFonts w:ascii="Arial" w:hAnsi="Arial" w:cs="Arial"/>
          <w:sz w:val="24"/>
          <w:szCs w:val="24"/>
        </w:rPr>
      </w:pPr>
    </w:p>
    <w:p w14:paraId="1F539308" w14:textId="31D6C36D" w:rsidR="001118FA" w:rsidRPr="001118FA" w:rsidRDefault="001118FA" w:rsidP="001118FA">
      <w:pPr>
        <w:pStyle w:val="NoSpacing"/>
        <w:rPr>
          <w:rFonts w:ascii="Arial" w:hAnsi="Arial" w:cs="Arial"/>
          <w:sz w:val="24"/>
          <w:szCs w:val="24"/>
          <w:lang w:val="es"/>
        </w:rPr>
      </w:pPr>
      <w:r w:rsidRPr="001118FA">
        <w:rPr>
          <w:rFonts w:ascii="Arial" w:hAnsi="Arial" w:cs="Arial"/>
          <w:sz w:val="24"/>
          <w:szCs w:val="24"/>
          <w:lang w:val="es"/>
        </w:rPr>
        <w:t xml:space="preserve">Si considera que </w:t>
      </w:r>
      <w:r w:rsidR="00C128E1" w:rsidRPr="001118FA">
        <w:rPr>
          <w:rFonts w:ascii="Arial" w:hAnsi="Arial" w:cs="Arial"/>
          <w:sz w:val="24"/>
          <w:szCs w:val="24"/>
          <w:lang w:val="es"/>
        </w:rPr>
        <w:t xml:space="preserve">Orthopaedic </w:t>
      </w:r>
      <w:proofErr w:type="spellStart"/>
      <w:r w:rsidR="00C128E1" w:rsidRPr="001118FA">
        <w:rPr>
          <w:rFonts w:ascii="Arial" w:hAnsi="Arial" w:cs="Arial"/>
          <w:sz w:val="24"/>
          <w:szCs w:val="24"/>
          <w:lang w:val="es"/>
        </w:rPr>
        <w:t>Associates</w:t>
      </w:r>
      <w:proofErr w:type="spellEnd"/>
      <w:r w:rsidRPr="001118FA">
        <w:rPr>
          <w:rFonts w:ascii="Arial" w:hAnsi="Arial" w:cs="Arial"/>
          <w:sz w:val="24"/>
          <w:szCs w:val="24"/>
          <w:lang w:val="es"/>
        </w:rPr>
        <w:t xml:space="preserve"> o </w:t>
      </w:r>
      <w:r w:rsidR="00C128E1" w:rsidRPr="001118FA">
        <w:rPr>
          <w:rFonts w:ascii="Arial" w:hAnsi="Arial" w:cs="Arial"/>
          <w:sz w:val="24"/>
          <w:szCs w:val="24"/>
          <w:lang w:val="es"/>
        </w:rPr>
        <w:t xml:space="preserve">PRO </w:t>
      </w:r>
      <w:proofErr w:type="spellStart"/>
      <w:r w:rsidR="00C128E1" w:rsidRPr="001118FA">
        <w:rPr>
          <w:rFonts w:ascii="Arial" w:hAnsi="Arial" w:cs="Arial"/>
          <w:sz w:val="24"/>
          <w:szCs w:val="24"/>
          <w:lang w:val="es"/>
        </w:rPr>
        <w:t>Physical</w:t>
      </w:r>
      <w:proofErr w:type="spellEnd"/>
      <w:r w:rsidR="00C128E1" w:rsidRPr="001118FA">
        <w:rPr>
          <w:rFonts w:ascii="Arial" w:hAnsi="Arial" w:cs="Arial"/>
          <w:sz w:val="24"/>
          <w:szCs w:val="24"/>
          <w:lang w:val="es"/>
        </w:rPr>
        <w:t xml:space="preserve"> Therapy and Hand Center</w:t>
      </w:r>
      <w:r w:rsidRPr="001118FA">
        <w:rPr>
          <w:rFonts w:ascii="Arial" w:hAnsi="Arial" w:cs="Arial"/>
          <w:sz w:val="24"/>
          <w:szCs w:val="24"/>
          <w:lang w:val="es"/>
        </w:rPr>
        <w:t xml:space="preserve"> le han facturado de manera errónea, llame al 715-</w:t>
      </w:r>
      <w:r w:rsidR="00BB47C0">
        <w:rPr>
          <w:rFonts w:ascii="Arial" w:hAnsi="Arial" w:cs="Arial"/>
          <w:sz w:val="24"/>
          <w:szCs w:val="24"/>
          <w:lang w:val="es"/>
        </w:rPr>
        <w:t>90</w:t>
      </w:r>
      <w:r w:rsidRPr="001118FA">
        <w:rPr>
          <w:rFonts w:ascii="Arial" w:hAnsi="Arial" w:cs="Arial"/>
          <w:sz w:val="24"/>
          <w:szCs w:val="24"/>
          <w:lang w:val="es"/>
        </w:rPr>
        <w:t>7-</w:t>
      </w:r>
      <w:r w:rsidR="00BB47C0">
        <w:rPr>
          <w:rFonts w:ascii="Arial" w:hAnsi="Arial" w:cs="Arial"/>
          <w:sz w:val="24"/>
          <w:szCs w:val="24"/>
          <w:lang w:val="es"/>
        </w:rPr>
        <w:t>0900</w:t>
      </w:r>
      <w:bookmarkStart w:id="0" w:name="_GoBack"/>
      <w:bookmarkEnd w:id="0"/>
      <w:r w:rsidRPr="001118FA">
        <w:rPr>
          <w:rFonts w:ascii="Arial" w:hAnsi="Arial" w:cs="Arial"/>
          <w:sz w:val="24"/>
          <w:szCs w:val="24"/>
          <w:lang w:val="es"/>
        </w:rPr>
        <w:t xml:space="preserve"> y pregunte por nuestro Supervisor de Oficina Comercial.</w:t>
      </w:r>
    </w:p>
    <w:p w14:paraId="7B377A54" w14:textId="77777777" w:rsidR="001118FA" w:rsidRPr="001118FA" w:rsidRDefault="001118FA" w:rsidP="001118FA">
      <w:pPr>
        <w:pStyle w:val="NoSpacing"/>
        <w:rPr>
          <w:rFonts w:ascii="Arial" w:hAnsi="Arial" w:cs="Arial"/>
          <w:sz w:val="24"/>
          <w:szCs w:val="24"/>
          <w:lang w:val="es"/>
        </w:rPr>
      </w:pPr>
    </w:p>
    <w:p w14:paraId="6ABCA31E" w14:textId="1A5CD3D1" w:rsidR="001E3F5B" w:rsidRPr="001118FA" w:rsidRDefault="001118FA" w:rsidP="001118FA">
      <w:pPr>
        <w:pStyle w:val="NoSpacing"/>
        <w:rPr>
          <w:rFonts w:ascii="Arial" w:hAnsi="Arial" w:cs="Arial"/>
          <w:sz w:val="24"/>
          <w:szCs w:val="24"/>
        </w:rPr>
      </w:pPr>
      <w:r w:rsidRPr="001118FA">
        <w:rPr>
          <w:rFonts w:ascii="Arial" w:hAnsi="Arial" w:cs="Arial"/>
          <w:sz w:val="24"/>
          <w:szCs w:val="24"/>
          <w:lang w:val="es"/>
        </w:rPr>
        <w:t xml:space="preserve">Visite </w:t>
      </w:r>
      <w:hyperlink r:id="rId8" w:history="1">
        <w:r w:rsidR="0040226D" w:rsidRPr="001118FA">
          <w:rPr>
            <w:rStyle w:val="Hyperlink"/>
            <w:rFonts w:ascii="Arial" w:hAnsi="Arial" w:cs="Arial"/>
            <w:sz w:val="24"/>
            <w:szCs w:val="24"/>
            <w:lang w:val="es"/>
          </w:rPr>
          <w:t>https://www.cms.gov/nosurprises</w:t>
        </w:r>
      </w:hyperlink>
      <w:r w:rsidRPr="001118FA">
        <w:rPr>
          <w:rFonts w:ascii="Arial" w:hAnsi="Arial" w:cs="Arial"/>
          <w:sz w:val="24"/>
          <w:szCs w:val="24"/>
          <w:lang w:val="es"/>
        </w:rPr>
        <w:t xml:space="preserve"> para obtener más información sobre sus derechos bajo la ley federal.</w:t>
      </w:r>
    </w:p>
    <w:sectPr w:rsidR="001E3F5B" w:rsidRPr="001118FA" w:rsidSect="001118FA">
      <w:pgSz w:w="12240" w:h="15840"/>
      <w:pgMar w:top="1368" w:right="1368" w:bottom="1368"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11B03"/>
    <w:multiLevelType w:val="hybridMultilevel"/>
    <w:tmpl w:val="BDAE63B2"/>
    <w:lvl w:ilvl="0" w:tplc="81460344">
      <w:start w:val="1"/>
      <w:numFmt w:val="decimal"/>
      <w:lvlText w:val="%1)"/>
      <w:lvlJc w:val="left"/>
      <w:pPr>
        <w:ind w:left="1080" w:hanging="360"/>
      </w:pPr>
      <w:rPr>
        <w:rFonts w:hint="default"/>
      </w:rPr>
    </w:lvl>
    <w:lvl w:ilvl="1" w:tplc="8A82154A">
      <w:start w:val="1"/>
      <w:numFmt w:val="lowerLetter"/>
      <w:lvlText w:val="%2."/>
      <w:lvlJc w:val="left"/>
      <w:pPr>
        <w:ind w:left="1800" w:hanging="360"/>
      </w:pPr>
    </w:lvl>
    <w:lvl w:ilvl="2" w:tplc="2A405A08" w:tentative="1">
      <w:start w:val="1"/>
      <w:numFmt w:val="lowerRoman"/>
      <w:lvlText w:val="%3."/>
      <w:lvlJc w:val="right"/>
      <w:pPr>
        <w:ind w:left="2520" w:hanging="180"/>
      </w:pPr>
    </w:lvl>
    <w:lvl w:ilvl="3" w:tplc="363E4B92" w:tentative="1">
      <w:start w:val="1"/>
      <w:numFmt w:val="decimal"/>
      <w:lvlText w:val="%4."/>
      <w:lvlJc w:val="left"/>
      <w:pPr>
        <w:ind w:left="3240" w:hanging="360"/>
      </w:pPr>
    </w:lvl>
    <w:lvl w:ilvl="4" w:tplc="B87E32F2" w:tentative="1">
      <w:start w:val="1"/>
      <w:numFmt w:val="lowerLetter"/>
      <w:lvlText w:val="%5."/>
      <w:lvlJc w:val="left"/>
      <w:pPr>
        <w:ind w:left="3960" w:hanging="360"/>
      </w:pPr>
    </w:lvl>
    <w:lvl w:ilvl="5" w:tplc="E14E11DA" w:tentative="1">
      <w:start w:val="1"/>
      <w:numFmt w:val="lowerRoman"/>
      <w:lvlText w:val="%6."/>
      <w:lvlJc w:val="right"/>
      <w:pPr>
        <w:ind w:left="4680" w:hanging="180"/>
      </w:pPr>
    </w:lvl>
    <w:lvl w:ilvl="6" w:tplc="43AC7D76" w:tentative="1">
      <w:start w:val="1"/>
      <w:numFmt w:val="decimal"/>
      <w:lvlText w:val="%7."/>
      <w:lvlJc w:val="left"/>
      <w:pPr>
        <w:ind w:left="5400" w:hanging="360"/>
      </w:pPr>
    </w:lvl>
    <w:lvl w:ilvl="7" w:tplc="A7C843D2" w:tentative="1">
      <w:start w:val="1"/>
      <w:numFmt w:val="lowerLetter"/>
      <w:lvlText w:val="%8."/>
      <w:lvlJc w:val="left"/>
      <w:pPr>
        <w:ind w:left="6120" w:hanging="360"/>
      </w:pPr>
    </w:lvl>
    <w:lvl w:ilvl="8" w:tplc="26BEAD14" w:tentative="1">
      <w:start w:val="1"/>
      <w:numFmt w:val="lowerRoman"/>
      <w:lvlText w:val="%9."/>
      <w:lvlJc w:val="right"/>
      <w:pPr>
        <w:ind w:left="6840" w:hanging="180"/>
      </w:pPr>
    </w:lvl>
  </w:abstractNum>
  <w:abstractNum w:abstractNumId="1" w15:restartNumberingAfterBreak="0">
    <w:nsid w:val="39855BA5"/>
    <w:multiLevelType w:val="hybridMultilevel"/>
    <w:tmpl w:val="41967734"/>
    <w:lvl w:ilvl="0" w:tplc="AE0A5E52">
      <w:start w:val="1"/>
      <w:numFmt w:val="bullet"/>
      <w:lvlText w:val=""/>
      <w:lvlJc w:val="left"/>
      <w:pPr>
        <w:ind w:left="720" w:hanging="360"/>
      </w:pPr>
      <w:rPr>
        <w:rFonts w:ascii="Symbol" w:hAnsi="Symbol" w:hint="default"/>
      </w:rPr>
    </w:lvl>
    <w:lvl w:ilvl="1" w:tplc="CC3E229C">
      <w:start w:val="1"/>
      <w:numFmt w:val="bullet"/>
      <w:lvlText w:val="o"/>
      <w:lvlJc w:val="left"/>
      <w:pPr>
        <w:ind w:left="1440" w:hanging="360"/>
      </w:pPr>
      <w:rPr>
        <w:rFonts w:ascii="Courier New" w:hAnsi="Courier New" w:cs="Courier New" w:hint="default"/>
      </w:rPr>
    </w:lvl>
    <w:lvl w:ilvl="2" w:tplc="2F2045DC" w:tentative="1">
      <w:start w:val="1"/>
      <w:numFmt w:val="bullet"/>
      <w:lvlText w:val=""/>
      <w:lvlJc w:val="left"/>
      <w:pPr>
        <w:ind w:left="2160" w:hanging="360"/>
      </w:pPr>
      <w:rPr>
        <w:rFonts w:ascii="Wingdings" w:hAnsi="Wingdings" w:hint="default"/>
      </w:rPr>
    </w:lvl>
    <w:lvl w:ilvl="3" w:tplc="9C26CC2A" w:tentative="1">
      <w:start w:val="1"/>
      <w:numFmt w:val="bullet"/>
      <w:lvlText w:val=""/>
      <w:lvlJc w:val="left"/>
      <w:pPr>
        <w:ind w:left="2880" w:hanging="360"/>
      </w:pPr>
      <w:rPr>
        <w:rFonts w:ascii="Symbol" w:hAnsi="Symbol" w:hint="default"/>
      </w:rPr>
    </w:lvl>
    <w:lvl w:ilvl="4" w:tplc="F25C6114" w:tentative="1">
      <w:start w:val="1"/>
      <w:numFmt w:val="bullet"/>
      <w:lvlText w:val="o"/>
      <w:lvlJc w:val="left"/>
      <w:pPr>
        <w:ind w:left="3600" w:hanging="360"/>
      </w:pPr>
      <w:rPr>
        <w:rFonts w:ascii="Courier New" w:hAnsi="Courier New" w:cs="Courier New" w:hint="default"/>
      </w:rPr>
    </w:lvl>
    <w:lvl w:ilvl="5" w:tplc="965E356A" w:tentative="1">
      <w:start w:val="1"/>
      <w:numFmt w:val="bullet"/>
      <w:lvlText w:val=""/>
      <w:lvlJc w:val="left"/>
      <w:pPr>
        <w:ind w:left="4320" w:hanging="360"/>
      </w:pPr>
      <w:rPr>
        <w:rFonts w:ascii="Wingdings" w:hAnsi="Wingdings" w:hint="default"/>
      </w:rPr>
    </w:lvl>
    <w:lvl w:ilvl="6" w:tplc="982EBA90" w:tentative="1">
      <w:start w:val="1"/>
      <w:numFmt w:val="bullet"/>
      <w:lvlText w:val=""/>
      <w:lvlJc w:val="left"/>
      <w:pPr>
        <w:ind w:left="5040" w:hanging="360"/>
      </w:pPr>
      <w:rPr>
        <w:rFonts w:ascii="Symbol" w:hAnsi="Symbol" w:hint="default"/>
      </w:rPr>
    </w:lvl>
    <w:lvl w:ilvl="7" w:tplc="D1F8A38A" w:tentative="1">
      <w:start w:val="1"/>
      <w:numFmt w:val="bullet"/>
      <w:lvlText w:val="o"/>
      <w:lvlJc w:val="left"/>
      <w:pPr>
        <w:ind w:left="5760" w:hanging="360"/>
      </w:pPr>
      <w:rPr>
        <w:rFonts w:ascii="Courier New" w:hAnsi="Courier New" w:cs="Courier New" w:hint="default"/>
      </w:rPr>
    </w:lvl>
    <w:lvl w:ilvl="8" w:tplc="71124A8A" w:tentative="1">
      <w:start w:val="1"/>
      <w:numFmt w:val="bullet"/>
      <w:lvlText w:val=""/>
      <w:lvlJc w:val="left"/>
      <w:pPr>
        <w:ind w:left="6480" w:hanging="360"/>
      </w:pPr>
      <w:rPr>
        <w:rFonts w:ascii="Wingdings" w:hAnsi="Wingdings" w:hint="default"/>
      </w:rPr>
    </w:lvl>
  </w:abstractNum>
  <w:abstractNum w:abstractNumId="2" w15:restartNumberingAfterBreak="0">
    <w:nsid w:val="4B703C55"/>
    <w:multiLevelType w:val="hybridMultilevel"/>
    <w:tmpl w:val="6FB63540"/>
    <w:lvl w:ilvl="0" w:tplc="85605C7A">
      <w:numFmt w:val="bullet"/>
      <w:lvlText w:val="•"/>
      <w:lvlJc w:val="left"/>
      <w:pPr>
        <w:ind w:left="720" w:hanging="360"/>
      </w:pPr>
      <w:rPr>
        <w:rFonts w:ascii="Arial" w:eastAsiaTheme="minorHAnsi" w:hAnsi="Arial" w:cs="Arial" w:hint="default"/>
      </w:rPr>
    </w:lvl>
    <w:lvl w:ilvl="1" w:tplc="45924E80">
      <w:numFmt w:val="bullet"/>
      <w:lvlText w:val=""/>
      <w:lvlJc w:val="left"/>
      <w:pPr>
        <w:ind w:left="1440" w:hanging="360"/>
      </w:pPr>
      <w:rPr>
        <w:rFonts w:ascii="Symbol" w:eastAsiaTheme="minorHAnsi" w:hAnsi="Symbol" w:cs="Arial" w:hint="default"/>
      </w:rPr>
    </w:lvl>
    <w:lvl w:ilvl="2" w:tplc="F8EE67B2" w:tentative="1">
      <w:start w:val="1"/>
      <w:numFmt w:val="bullet"/>
      <w:lvlText w:val=""/>
      <w:lvlJc w:val="left"/>
      <w:pPr>
        <w:ind w:left="2160" w:hanging="360"/>
      </w:pPr>
      <w:rPr>
        <w:rFonts w:ascii="Wingdings" w:hAnsi="Wingdings" w:hint="default"/>
      </w:rPr>
    </w:lvl>
    <w:lvl w:ilvl="3" w:tplc="A3DA666E" w:tentative="1">
      <w:start w:val="1"/>
      <w:numFmt w:val="bullet"/>
      <w:lvlText w:val=""/>
      <w:lvlJc w:val="left"/>
      <w:pPr>
        <w:ind w:left="2880" w:hanging="360"/>
      </w:pPr>
      <w:rPr>
        <w:rFonts w:ascii="Symbol" w:hAnsi="Symbol" w:hint="default"/>
      </w:rPr>
    </w:lvl>
    <w:lvl w:ilvl="4" w:tplc="EF120872" w:tentative="1">
      <w:start w:val="1"/>
      <w:numFmt w:val="bullet"/>
      <w:lvlText w:val="o"/>
      <w:lvlJc w:val="left"/>
      <w:pPr>
        <w:ind w:left="3600" w:hanging="360"/>
      </w:pPr>
      <w:rPr>
        <w:rFonts w:ascii="Courier New" w:hAnsi="Courier New" w:cs="Courier New" w:hint="default"/>
      </w:rPr>
    </w:lvl>
    <w:lvl w:ilvl="5" w:tplc="7284A63E" w:tentative="1">
      <w:start w:val="1"/>
      <w:numFmt w:val="bullet"/>
      <w:lvlText w:val=""/>
      <w:lvlJc w:val="left"/>
      <w:pPr>
        <w:ind w:left="4320" w:hanging="360"/>
      </w:pPr>
      <w:rPr>
        <w:rFonts w:ascii="Wingdings" w:hAnsi="Wingdings" w:hint="default"/>
      </w:rPr>
    </w:lvl>
    <w:lvl w:ilvl="6" w:tplc="0B0C4ACA" w:tentative="1">
      <w:start w:val="1"/>
      <w:numFmt w:val="bullet"/>
      <w:lvlText w:val=""/>
      <w:lvlJc w:val="left"/>
      <w:pPr>
        <w:ind w:left="5040" w:hanging="360"/>
      </w:pPr>
      <w:rPr>
        <w:rFonts w:ascii="Symbol" w:hAnsi="Symbol" w:hint="default"/>
      </w:rPr>
    </w:lvl>
    <w:lvl w:ilvl="7" w:tplc="9FE0EE60" w:tentative="1">
      <w:start w:val="1"/>
      <w:numFmt w:val="bullet"/>
      <w:lvlText w:val="o"/>
      <w:lvlJc w:val="left"/>
      <w:pPr>
        <w:ind w:left="5760" w:hanging="360"/>
      </w:pPr>
      <w:rPr>
        <w:rFonts w:ascii="Courier New" w:hAnsi="Courier New" w:cs="Courier New" w:hint="default"/>
      </w:rPr>
    </w:lvl>
    <w:lvl w:ilvl="8" w:tplc="771AAA6C" w:tentative="1">
      <w:start w:val="1"/>
      <w:numFmt w:val="bullet"/>
      <w:lvlText w:val=""/>
      <w:lvlJc w:val="left"/>
      <w:pPr>
        <w:ind w:left="6480" w:hanging="360"/>
      </w:pPr>
      <w:rPr>
        <w:rFonts w:ascii="Wingdings" w:hAnsi="Wingdings" w:hint="default"/>
      </w:rPr>
    </w:lvl>
  </w:abstractNum>
  <w:abstractNum w:abstractNumId="3" w15:restartNumberingAfterBreak="0">
    <w:nsid w:val="6DE53DE0"/>
    <w:multiLevelType w:val="hybridMultilevel"/>
    <w:tmpl w:val="FDC2B0AA"/>
    <w:lvl w:ilvl="0" w:tplc="7EB0ADE6">
      <w:start w:val="1"/>
      <w:numFmt w:val="decimal"/>
      <w:lvlText w:val="%1)"/>
      <w:lvlJc w:val="left"/>
      <w:pPr>
        <w:ind w:left="720" w:hanging="360"/>
      </w:pPr>
      <w:rPr>
        <w:rFonts w:hint="default"/>
      </w:rPr>
    </w:lvl>
    <w:lvl w:ilvl="1" w:tplc="EA50B322" w:tentative="1">
      <w:start w:val="1"/>
      <w:numFmt w:val="lowerLetter"/>
      <w:lvlText w:val="%2."/>
      <w:lvlJc w:val="left"/>
      <w:pPr>
        <w:ind w:left="1440" w:hanging="360"/>
      </w:pPr>
    </w:lvl>
    <w:lvl w:ilvl="2" w:tplc="97424FEE" w:tentative="1">
      <w:start w:val="1"/>
      <w:numFmt w:val="lowerRoman"/>
      <w:lvlText w:val="%3."/>
      <w:lvlJc w:val="right"/>
      <w:pPr>
        <w:ind w:left="2160" w:hanging="180"/>
      </w:pPr>
    </w:lvl>
    <w:lvl w:ilvl="3" w:tplc="E1145D58" w:tentative="1">
      <w:start w:val="1"/>
      <w:numFmt w:val="decimal"/>
      <w:lvlText w:val="%4."/>
      <w:lvlJc w:val="left"/>
      <w:pPr>
        <w:ind w:left="2880" w:hanging="360"/>
      </w:pPr>
    </w:lvl>
    <w:lvl w:ilvl="4" w:tplc="85D02468" w:tentative="1">
      <w:start w:val="1"/>
      <w:numFmt w:val="lowerLetter"/>
      <w:lvlText w:val="%5."/>
      <w:lvlJc w:val="left"/>
      <w:pPr>
        <w:ind w:left="3600" w:hanging="360"/>
      </w:pPr>
    </w:lvl>
    <w:lvl w:ilvl="5" w:tplc="F90C09AC" w:tentative="1">
      <w:start w:val="1"/>
      <w:numFmt w:val="lowerRoman"/>
      <w:lvlText w:val="%6."/>
      <w:lvlJc w:val="right"/>
      <w:pPr>
        <w:ind w:left="4320" w:hanging="180"/>
      </w:pPr>
    </w:lvl>
    <w:lvl w:ilvl="6" w:tplc="72E65ADE" w:tentative="1">
      <w:start w:val="1"/>
      <w:numFmt w:val="decimal"/>
      <w:lvlText w:val="%7."/>
      <w:lvlJc w:val="left"/>
      <w:pPr>
        <w:ind w:left="5040" w:hanging="360"/>
      </w:pPr>
    </w:lvl>
    <w:lvl w:ilvl="7" w:tplc="828CBD0C" w:tentative="1">
      <w:start w:val="1"/>
      <w:numFmt w:val="lowerLetter"/>
      <w:lvlText w:val="%8."/>
      <w:lvlJc w:val="left"/>
      <w:pPr>
        <w:ind w:left="5760" w:hanging="360"/>
      </w:pPr>
    </w:lvl>
    <w:lvl w:ilvl="8" w:tplc="02969092"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59"/>
    <w:rsid w:val="001118FA"/>
    <w:rsid w:val="00183C80"/>
    <w:rsid w:val="001E3F5B"/>
    <w:rsid w:val="002F728A"/>
    <w:rsid w:val="00353E74"/>
    <w:rsid w:val="0040226D"/>
    <w:rsid w:val="004505A6"/>
    <w:rsid w:val="00475D75"/>
    <w:rsid w:val="00756B4F"/>
    <w:rsid w:val="00773182"/>
    <w:rsid w:val="00782954"/>
    <w:rsid w:val="008663B1"/>
    <w:rsid w:val="008F1394"/>
    <w:rsid w:val="00972FAD"/>
    <w:rsid w:val="009B5B89"/>
    <w:rsid w:val="00AC1F93"/>
    <w:rsid w:val="00BB47C0"/>
    <w:rsid w:val="00C128E1"/>
    <w:rsid w:val="00CA68C2"/>
    <w:rsid w:val="00CA7A21"/>
    <w:rsid w:val="00DF11DD"/>
    <w:rsid w:val="00EB3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394F"/>
  <w15:chartTrackingRefBased/>
  <w15:docId w15:val="{70BD47A4-65C0-481B-9DE2-C7D51A1F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182"/>
    <w:pPr>
      <w:spacing w:after="0" w:line="240" w:lineRule="auto"/>
    </w:pPr>
  </w:style>
  <w:style w:type="paragraph" w:styleId="ListParagraph">
    <w:name w:val="List Paragraph"/>
    <w:basedOn w:val="Normal"/>
    <w:uiPriority w:val="34"/>
    <w:qFormat/>
    <w:rsid w:val="009B5B89"/>
    <w:pPr>
      <w:ind w:left="720"/>
      <w:contextualSpacing/>
    </w:pPr>
  </w:style>
  <w:style w:type="character" w:styleId="Hyperlink">
    <w:name w:val="Hyperlink"/>
    <w:basedOn w:val="DefaultParagraphFont"/>
    <w:uiPriority w:val="99"/>
    <w:unhideWhenUsed/>
    <w:rsid w:val="0040226D"/>
    <w:rPr>
      <w:color w:val="0563C1" w:themeColor="hyperlink"/>
      <w:u w:val="single"/>
    </w:rPr>
  </w:style>
  <w:style w:type="character" w:customStyle="1" w:styleId="UnresolvedMention1">
    <w:name w:val="Unresolved Mention1"/>
    <w:basedOn w:val="DefaultParagraphFont"/>
    <w:uiPriority w:val="99"/>
    <w:semiHidden/>
    <w:unhideWhenUsed/>
    <w:rsid w:val="00402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Byrd</dc:creator>
  <cp:lastModifiedBy>Tristin Fleischman</cp:lastModifiedBy>
  <cp:revision>17</cp:revision>
  <dcterms:created xsi:type="dcterms:W3CDTF">2021-12-27T21:34:00Z</dcterms:created>
  <dcterms:modified xsi:type="dcterms:W3CDTF">2023-06-06T14:56:00Z</dcterms:modified>
</cp:coreProperties>
</file>